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AD447" w14:textId="5334F6B5" w:rsidR="005E45F1" w:rsidRPr="005E45F1" w:rsidRDefault="00AD24F9" w:rsidP="005E45F1">
      <w:pPr>
        <w:pBdr>
          <w:top w:val="single" w:sz="2" w:space="0" w:color="0073E6"/>
          <w:left w:val="single" w:sz="2" w:space="0" w:color="0073E6"/>
          <w:bottom w:val="single" w:sz="18" w:space="0" w:color="0073E6"/>
          <w:right w:val="single" w:sz="2" w:space="0" w:color="0073E6"/>
        </w:pBdr>
        <w:shd w:val="clear" w:color="auto" w:fill="FFFFFF"/>
        <w:spacing w:before="100" w:beforeAutospacing="1" w:after="100" w:afterAutospacing="1" w:line="240" w:lineRule="auto"/>
        <w:outlineLvl w:val="0"/>
        <w:rPr>
          <w:rFonts w:ascii="Segoe UI" w:eastAsia="Times New Roman" w:hAnsi="Segoe UI" w:cs="Segoe UI"/>
          <w:color w:val="004182"/>
          <w:kern w:val="36"/>
          <w:sz w:val="48"/>
          <w:szCs w:val="48"/>
        </w:rPr>
      </w:pPr>
      <w:r>
        <w:rPr>
          <w:rFonts w:ascii="Segoe UI" w:eastAsia="Times New Roman" w:hAnsi="Segoe UI" w:cs="Segoe UI"/>
          <w:color w:val="004182"/>
          <w:kern w:val="36"/>
          <w:sz w:val="48"/>
          <w:szCs w:val="48"/>
        </w:rPr>
        <w:t xml:space="preserve">Scout Clean Energy </w:t>
      </w:r>
      <w:r w:rsidR="005E45F1" w:rsidRPr="005E45F1">
        <w:rPr>
          <w:rFonts w:ascii="Segoe UI" w:eastAsia="Times New Roman" w:hAnsi="Segoe UI" w:cs="Segoe UI"/>
          <w:color w:val="004182"/>
          <w:kern w:val="36"/>
          <w:sz w:val="48"/>
          <w:szCs w:val="48"/>
        </w:rPr>
        <w:t>Executive Summary</w:t>
      </w:r>
    </w:p>
    <w:p w14:paraId="4BCE6622" w14:textId="6457D098"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b/>
          <w:bCs/>
          <w:color w:val="212529"/>
          <w:sz w:val="30"/>
          <w:szCs w:val="30"/>
        </w:rPr>
        <w:t>An emergency can occur at any time, suddenly and without warning. Proper planning is essential to minimize the impact of any emergency on the operations</w:t>
      </w:r>
      <w:r w:rsidR="00E44115">
        <w:rPr>
          <w:rFonts w:ascii="Source Sans Pro" w:eastAsia="Times New Roman" w:hAnsi="Source Sans Pro" w:cs="Times New Roman"/>
          <w:b/>
          <w:bCs/>
          <w:color w:val="212529"/>
          <w:sz w:val="30"/>
          <w:szCs w:val="30"/>
        </w:rPr>
        <w:t xml:space="preserve"> of Scout</w:t>
      </w:r>
      <w:r w:rsidRPr="005E45F1">
        <w:rPr>
          <w:rFonts w:ascii="Source Sans Pro" w:eastAsia="Times New Roman" w:hAnsi="Source Sans Pro" w:cs="Times New Roman"/>
          <w:b/>
          <w:bCs/>
          <w:color w:val="212529"/>
          <w:sz w:val="30"/>
          <w:szCs w:val="30"/>
        </w:rPr>
        <w:t xml:space="preserve"> facilities.</w:t>
      </w:r>
    </w:p>
    <w:p w14:paraId="483104FC" w14:textId="61BB57EE"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 xml:space="preserve">The Emergency Operations Plan is designed to provide </w:t>
      </w:r>
      <w:r>
        <w:rPr>
          <w:rFonts w:ascii="Source Sans Pro" w:eastAsia="Times New Roman" w:hAnsi="Source Sans Pro" w:cs="Times New Roman"/>
          <w:color w:val="212529"/>
          <w:sz w:val="30"/>
          <w:szCs w:val="30"/>
        </w:rPr>
        <w:t xml:space="preserve">Scout </w:t>
      </w:r>
      <w:r w:rsidRPr="005E45F1">
        <w:rPr>
          <w:rFonts w:ascii="Source Sans Pro" w:eastAsia="Times New Roman" w:hAnsi="Source Sans Pro" w:cs="Times New Roman"/>
          <w:color w:val="212529"/>
          <w:sz w:val="30"/>
          <w:szCs w:val="30"/>
        </w:rPr>
        <w:t>Clean</w:t>
      </w:r>
      <w:r>
        <w:rPr>
          <w:rFonts w:ascii="Source Sans Pro" w:eastAsia="Times New Roman" w:hAnsi="Source Sans Pro" w:cs="Times New Roman"/>
          <w:color w:val="212529"/>
          <w:sz w:val="30"/>
          <w:szCs w:val="30"/>
        </w:rPr>
        <w:t xml:space="preserve"> Energy </w:t>
      </w:r>
      <w:r w:rsidRPr="005E45F1">
        <w:rPr>
          <w:rFonts w:ascii="Source Sans Pro" w:eastAsia="Times New Roman" w:hAnsi="Source Sans Pro" w:cs="Times New Roman"/>
          <w:color w:val="212529"/>
          <w:sz w:val="30"/>
          <w:szCs w:val="30"/>
        </w:rPr>
        <w:t xml:space="preserve">with a management tool to facilitate a timely, effective, efficient, and coordinated emergency response to significant events affecting </w:t>
      </w:r>
      <w:r w:rsidR="00E44115">
        <w:rPr>
          <w:rFonts w:ascii="Source Sans Pro" w:eastAsia="Times New Roman" w:hAnsi="Source Sans Pro" w:cs="Times New Roman"/>
          <w:color w:val="212529"/>
          <w:sz w:val="30"/>
          <w:szCs w:val="30"/>
        </w:rPr>
        <w:t xml:space="preserve">its sites or its </w:t>
      </w:r>
      <w:r w:rsidR="00DE2AF5">
        <w:rPr>
          <w:rFonts w:ascii="Source Sans Pro" w:eastAsia="Times New Roman" w:hAnsi="Source Sans Pro" w:cs="Times New Roman"/>
          <w:color w:val="212529"/>
          <w:sz w:val="30"/>
          <w:szCs w:val="30"/>
        </w:rPr>
        <w:t>personnel</w:t>
      </w:r>
      <w:r w:rsidRPr="005E45F1">
        <w:rPr>
          <w:rFonts w:ascii="Source Sans Pro" w:eastAsia="Times New Roman" w:hAnsi="Source Sans Pro" w:cs="Times New Roman"/>
          <w:color w:val="212529"/>
          <w:sz w:val="30"/>
          <w:szCs w:val="30"/>
        </w:rPr>
        <w:t xml:space="preserve">. It is based on integrating </w:t>
      </w:r>
      <w:r>
        <w:rPr>
          <w:rFonts w:ascii="Source Sans Pro" w:eastAsia="Times New Roman" w:hAnsi="Source Sans Pro" w:cs="Times New Roman"/>
          <w:color w:val="212529"/>
          <w:sz w:val="30"/>
          <w:szCs w:val="30"/>
        </w:rPr>
        <w:t>Scout Clean Energy</w:t>
      </w:r>
      <w:r w:rsidRPr="005E45F1">
        <w:rPr>
          <w:rFonts w:ascii="Source Sans Pro" w:eastAsia="Times New Roman" w:hAnsi="Source Sans Pro" w:cs="Times New Roman"/>
          <w:color w:val="212529"/>
          <w:sz w:val="30"/>
          <w:szCs w:val="30"/>
        </w:rPr>
        <w:t xml:space="preserve"> emergency response resources with those of other government and emergency response agencies.</w:t>
      </w:r>
    </w:p>
    <w:p w14:paraId="1B992133" w14:textId="4BF6B506"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The Emergency Operations Plan does not replace existing emergency procedures but supplements them by defining the relationships between those and other procedures and organizations to build a unified command structure.</w:t>
      </w:r>
    </w:p>
    <w:p w14:paraId="5C9B5959" w14:textId="7777777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b/>
          <w:bCs/>
          <w:color w:val="212529"/>
          <w:sz w:val="30"/>
          <w:szCs w:val="30"/>
        </w:rPr>
        <w:t>Emergency management consists of four continuous stages:</w:t>
      </w:r>
    </w:p>
    <w:p w14:paraId="4EBF9189" w14:textId="517224ED" w:rsidR="005E45F1" w:rsidRPr="005B396F" w:rsidRDefault="00E44115" w:rsidP="005E45F1">
      <w:pPr>
        <w:shd w:val="clear" w:color="auto" w:fill="FFFFFF"/>
        <w:spacing w:before="240" w:after="240" w:line="240" w:lineRule="auto"/>
        <w:rPr>
          <w:rFonts w:ascii="Source Sans Pro" w:eastAsia="Times New Roman" w:hAnsi="Source Sans Pro" w:cs="Times New Roman"/>
          <w:color w:val="212529"/>
          <w:sz w:val="30"/>
          <w:szCs w:val="30"/>
          <w:u w:val="single"/>
        </w:rPr>
      </w:pPr>
      <w:r w:rsidRPr="005B396F">
        <w:rPr>
          <w:rFonts w:ascii="Source Sans Pro" w:eastAsia="Times New Roman" w:hAnsi="Source Sans Pro" w:cs="Times New Roman"/>
          <w:b/>
          <w:bCs/>
          <w:color w:val="212529"/>
          <w:sz w:val="30"/>
          <w:szCs w:val="30"/>
          <w:u w:val="single"/>
        </w:rPr>
        <w:t xml:space="preserve">Risk </w:t>
      </w:r>
      <w:r w:rsidR="005E45F1" w:rsidRPr="005B396F">
        <w:rPr>
          <w:rFonts w:ascii="Source Sans Pro" w:eastAsia="Times New Roman" w:hAnsi="Source Sans Pro" w:cs="Times New Roman"/>
          <w:b/>
          <w:bCs/>
          <w:color w:val="212529"/>
          <w:sz w:val="30"/>
          <w:szCs w:val="30"/>
          <w:u w:val="single"/>
        </w:rPr>
        <w:t>Mitigation</w:t>
      </w:r>
    </w:p>
    <w:p w14:paraId="263F0552" w14:textId="4AF085C4"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This stage includes activities designed to reduce or eliminate risks to persons or property or to lessen the actual or potential effects or consequences of an incident. Mitigation measures may be implemented prior to, during, or after an incident.</w:t>
      </w:r>
      <w:r w:rsidR="00DE2AF5">
        <w:rPr>
          <w:rFonts w:ascii="Source Sans Pro" w:eastAsia="Times New Roman" w:hAnsi="Source Sans Pro" w:cs="Times New Roman"/>
          <w:color w:val="212529"/>
          <w:sz w:val="30"/>
          <w:szCs w:val="30"/>
        </w:rPr>
        <w:t xml:space="preserve"> </w:t>
      </w:r>
      <w:proofErr w:type="spellStart"/>
      <w:r w:rsidR="00DE2AF5">
        <w:rPr>
          <w:rFonts w:ascii="Source Sans Pro" w:eastAsia="Times New Roman" w:hAnsi="Source Sans Pro" w:cs="Times New Roman"/>
          <w:color w:val="212529"/>
          <w:sz w:val="30"/>
          <w:szCs w:val="30"/>
        </w:rPr>
        <w:t>Riks</w:t>
      </w:r>
      <w:proofErr w:type="spellEnd"/>
      <w:r w:rsidRPr="005E45F1">
        <w:rPr>
          <w:rFonts w:ascii="Source Sans Pro" w:eastAsia="Times New Roman" w:hAnsi="Source Sans Pro" w:cs="Times New Roman"/>
          <w:color w:val="212529"/>
          <w:sz w:val="30"/>
          <w:szCs w:val="30"/>
        </w:rPr>
        <w:t xml:space="preserve"> Mitigation involves ongoing actions to reduce exposure to, probability of, or potential loss from </w:t>
      </w:r>
      <w:r w:rsidR="00DE2AF5">
        <w:rPr>
          <w:rFonts w:ascii="Source Sans Pro" w:eastAsia="Times New Roman" w:hAnsi="Source Sans Pro" w:cs="Times New Roman"/>
          <w:color w:val="212529"/>
          <w:sz w:val="30"/>
          <w:szCs w:val="30"/>
        </w:rPr>
        <w:t xml:space="preserve">equipment failure, </w:t>
      </w:r>
      <w:r w:rsidRPr="005E45F1">
        <w:rPr>
          <w:rFonts w:ascii="Source Sans Pro" w:eastAsia="Times New Roman" w:hAnsi="Source Sans Pro" w:cs="Times New Roman"/>
          <w:color w:val="212529"/>
          <w:sz w:val="30"/>
          <w:szCs w:val="30"/>
        </w:rPr>
        <w:t>hazards</w:t>
      </w:r>
      <w:r w:rsidR="00DE2AF5">
        <w:rPr>
          <w:rFonts w:ascii="Source Sans Pro" w:eastAsia="Times New Roman" w:hAnsi="Source Sans Pro" w:cs="Times New Roman"/>
          <w:color w:val="212529"/>
          <w:sz w:val="30"/>
          <w:szCs w:val="30"/>
        </w:rPr>
        <w:t>, and adverse environmental conditions.</w:t>
      </w:r>
      <w:r w:rsidRPr="005E45F1">
        <w:rPr>
          <w:rFonts w:ascii="Source Sans Pro" w:eastAsia="Times New Roman" w:hAnsi="Source Sans Pro" w:cs="Times New Roman"/>
          <w:color w:val="212529"/>
          <w:sz w:val="30"/>
          <w:szCs w:val="30"/>
        </w:rPr>
        <w:t xml:space="preserve"> Measures may include analysis of hazard related data to determine where it is safe to build or locate temporary facilities. </w:t>
      </w:r>
    </w:p>
    <w:p w14:paraId="5ABBD861" w14:textId="13C01108" w:rsidR="005E45F1" w:rsidRPr="005B396F" w:rsidRDefault="00E44115" w:rsidP="005E45F1">
      <w:pPr>
        <w:shd w:val="clear" w:color="auto" w:fill="FFFFFF"/>
        <w:spacing w:before="240" w:after="240" w:line="240" w:lineRule="auto"/>
        <w:rPr>
          <w:rFonts w:ascii="Source Sans Pro" w:eastAsia="Times New Roman" w:hAnsi="Source Sans Pro" w:cs="Times New Roman"/>
          <w:color w:val="212529"/>
          <w:sz w:val="30"/>
          <w:szCs w:val="30"/>
          <w:u w:val="single"/>
        </w:rPr>
      </w:pPr>
      <w:r w:rsidRPr="005B396F">
        <w:rPr>
          <w:rFonts w:ascii="Source Sans Pro" w:eastAsia="Times New Roman" w:hAnsi="Source Sans Pro" w:cs="Times New Roman"/>
          <w:b/>
          <w:bCs/>
          <w:color w:val="212529"/>
          <w:sz w:val="30"/>
          <w:szCs w:val="30"/>
          <w:u w:val="single"/>
        </w:rPr>
        <w:t xml:space="preserve">Emergency </w:t>
      </w:r>
      <w:r w:rsidR="005E45F1" w:rsidRPr="005B396F">
        <w:rPr>
          <w:rFonts w:ascii="Source Sans Pro" w:eastAsia="Times New Roman" w:hAnsi="Source Sans Pro" w:cs="Times New Roman"/>
          <w:b/>
          <w:bCs/>
          <w:color w:val="212529"/>
          <w:sz w:val="30"/>
          <w:szCs w:val="30"/>
          <w:u w:val="single"/>
        </w:rPr>
        <w:t>Preparedness</w:t>
      </w:r>
    </w:p>
    <w:p w14:paraId="7368E6EA" w14:textId="43098D2A" w:rsidR="005E45F1" w:rsidRPr="005E45F1" w:rsidRDefault="00E44115" w:rsidP="005E45F1">
      <w:pPr>
        <w:shd w:val="clear" w:color="auto" w:fill="FFFFFF"/>
        <w:spacing w:before="240" w:after="240" w:line="240" w:lineRule="auto"/>
        <w:rPr>
          <w:rFonts w:ascii="Source Sans Pro" w:eastAsia="Times New Roman" w:hAnsi="Source Sans Pro" w:cs="Times New Roman"/>
          <w:color w:val="212529"/>
          <w:sz w:val="30"/>
          <w:szCs w:val="30"/>
        </w:rPr>
      </w:pP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 xml:space="preserve">Preparedness is a continuous process. </w:t>
      </w: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 xml:space="preserve">Preparedness involves efforts at all levels to identify </w:t>
      </w:r>
      <w:r w:rsidR="00DE2AF5" w:rsidRPr="005E45F1">
        <w:rPr>
          <w:rFonts w:ascii="Source Sans Pro" w:eastAsia="Times New Roman" w:hAnsi="Source Sans Pro" w:cs="Times New Roman"/>
          <w:color w:val="212529"/>
          <w:sz w:val="30"/>
          <w:szCs w:val="30"/>
        </w:rPr>
        <w:t>hazards</w:t>
      </w:r>
      <w:r w:rsidR="005E45F1" w:rsidRPr="005E45F1">
        <w:rPr>
          <w:rFonts w:ascii="Source Sans Pro" w:eastAsia="Times New Roman" w:hAnsi="Source Sans Pro" w:cs="Times New Roman"/>
          <w:color w:val="212529"/>
          <w:sz w:val="30"/>
          <w:szCs w:val="30"/>
        </w:rPr>
        <w:t xml:space="preserve">, determine vulnerabilities, educate, and train </w:t>
      </w:r>
      <w:r w:rsidR="008F1D7D">
        <w:rPr>
          <w:rFonts w:ascii="Source Sans Pro" w:eastAsia="Times New Roman" w:hAnsi="Source Sans Pro" w:cs="Times New Roman"/>
          <w:color w:val="212529"/>
          <w:sz w:val="30"/>
          <w:szCs w:val="30"/>
        </w:rPr>
        <w:t>employees, contractors, and agen</w:t>
      </w:r>
      <w:r w:rsidR="00DE2AF5">
        <w:rPr>
          <w:rFonts w:ascii="Source Sans Pro" w:eastAsia="Times New Roman" w:hAnsi="Source Sans Pro" w:cs="Times New Roman"/>
          <w:color w:val="212529"/>
          <w:sz w:val="30"/>
          <w:szCs w:val="30"/>
        </w:rPr>
        <w:t xml:space="preserve">cies </w:t>
      </w:r>
      <w:r w:rsidR="008F1D7D">
        <w:rPr>
          <w:rFonts w:ascii="Source Sans Pro" w:eastAsia="Times New Roman" w:hAnsi="Source Sans Pro" w:cs="Times New Roman"/>
          <w:color w:val="212529"/>
          <w:sz w:val="30"/>
          <w:szCs w:val="30"/>
        </w:rPr>
        <w:lastRenderedPageBreak/>
        <w:t>c</w:t>
      </w:r>
      <w:r w:rsidR="005E45F1" w:rsidRPr="005E45F1">
        <w:rPr>
          <w:rFonts w:ascii="Source Sans Pro" w:eastAsia="Times New Roman" w:hAnsi="Source Sans Pro" w:cs="Times New Roman"/>
          <w:color w:val="212529"/>
          <w:sz w:val="30"/>
          <w:szCs w:val="30"/>
        </w:rPr>
        <w:t xml:space="preserve">an identify required resources. Preparedness is operationally focused on establishing guidelines, plans, procedures, protocols, and standards for planning, training and exercises, personnel qualification and certification, </w:t>
      </w:r>
      <w:r w:rsidR="00DE2AF5">
        <w:rPr>
          <w:rFonts w:ascii="Source Sans Pro" w:eastAsia="Times New Roman" w:hAnsi="Source Sans Pro" w:cs="Times New Roman"/>
          <w:color w:val="212529"/>
          <w:sz w:val="30"/>
          <w:szCs w:val="30"/>
        </w:rPr>
        <w:t xml:space="preserve">and </w:t>
      </w:r>
      <w:r w:rsidR="005E45F1" w:rsidRPr="005E45F1">
        <w:rPr>
          <w:rFonts w:ascii="Source Sans Pro" w:eastAsia="Times New Roman" w:hAnsi="Source Sans Pro" w:cs="Times New Roman"/>
          <w:color w:val="212529"/>
          <w:sz w:val="30"/>
          <w:szCs w:val="30"/>
        </w:rPr>
        <w:t>equipment certification</w:t>
      </w:r>
      <w:r w:rsidR="00DE2AF5">
        <w:rPr>
          <w:rFonts w:ascii="Source Sans Pro" w:eastAsia="Times New Roman" w:hAnsi="Source Sans Pro" w:cs="Times New Roman"/>
          <w:color w:val="212529"/>
          <w:sz w:val="30"/>
          <w:szCs w:val="30"/>
        </w:rPr>
        <w:t xml:space="preserve">. </w:t>
      </w:r>
    </w:p>
    <w:p w14:paraId="1A6F8B82" w14:textId="51FEF8FA" w:rsidR="005E45F1" w:rsidRPr="00865AF6" w:rsidRDefault="00E44115" w:rsidP="005E45F1">
      <w:pPr>
        <w:shd w:val="clear" w:color="auto" w:fill="FFFFFF"/>
        <w:spacing w:before="240" w:after="240" w:line="240" w:lineRule="auto"/>
        <w:rPr>
          <w:rFonts w:ascii="Source Sans Pro" w:eastAsia="Times New Roman" w:hAnsi="Source Sans Pro" w:cs="Times New Roman"/>
          <w:i/>
          <w:iCs/>
          <w:color w:val="212529"/>
          <w:sz w:val="30"/>
          <w:szCs w:val="30"/>
        </w:rPr>
      </w:pPr>
      <w:r w:rsidRPr="005B396F">
        <w:rPr>
          <w:rFonts w:ascii="Source Sans Pro" w:eastAsia="Times New Roman" w:hAnsi="Source Sans Pro" w:cs="Times New Roman"/>
          <w:b/>
          <w:bCs/>
          <w:color w:val="212529"/>
          <w:sz w:val="30"/>
          <w:szCs w:val="30"/>
          <w:u w:val="single"/>
        </w:rPr>
        <w:t xml:space="preserve">Emergency </w:t>
      </w:r>
      <w:r w:rsidR="005E45F1" w:rsidRPr="005B396F">
        <w:rPr>
          <w:rFonts w:ascii="Source Sans Pro" w:eastAsia="Times New Roman" w:hAnsi="Source Sans Pro" w:cs="Times New Roman"/>
          <w:b/>
          <w:bCs/>
          <w:color w:val="212529"/>
          <w:sz w:val="30"/>
          <w:szCs w:val="30"/>
          <w:u w:val="single"/>
        </w:rPr>
        <w:t>Response</w:t>
      </w:r>
      <w:r w:rsidR="00865AF6">
        <w:rPr>
          <w:rFonts w:ascii="Source Sans Pro" w:eastAsia="Times New Roman" w:hAnsi="Source Sans Pro" w:cs="Times New Roman"/>
          <w:b/>
          <w:bCs/>
          <w:color w:val="212529"/>
          <w:sz w:val="30"/>
          <w:szCs w:val="30"/>
        </w:rPr>
        <w:t xml:space="preserve"> –</w:t>
      </w:r>
      <w:r w:rsidR="00A60C39">
        <w:rPr>
          <w:rFonts w:ascii="Source Sans Pro" w:eastAsia="Times New Roman" w:hAnsi="Source Sans Pro" w:cs="Times New Roman"/>
          <w:b/>
          <w:bCs/>
          <w:i/>
          <w:iCs/>
          <w:color w:val="212529"/>
          <w:sz w:val="30"/>
          <w:szCs w:val="30"/>
        </w:rPr>
        <w:t xml:space="preserve">Section V. </w:t>
      </w:r>
      <w:r w:rsidR="00865AF6">
        <w:rPr>
          <w:rFonts w:ascii="Source Sans Pro" w:eastAsia="Times New Roman" w:hAnsi="Source Sans Pro" w:cs="Times New Roman"/>
          <w:b/>
          <w:bCs/>
          <w:i/>
          <w:iCs/>
          <w:color w:val="212529"/>
          <w:sz w:val="30"/>
          <w:szCs w:val="30"/>
        </w:rPr>
        <w:t>of P370</w:t>
      </w:r>
      <w:r w:rsidR="00A60C39">
        <w:rPr>
          <w:rFonts w:ascii="Source Sans Pro" w:eastAsia="Times New Roman" w:hAnsi="Source Sans Pro" w:cs="Times New Roman"/>
          <w:b/>
          <w:bCs/>
          <w:i/>
          <w:iCs/>
          <w:color w:val="212529"/>
          <w:sz w:val="30"/>
          <w:szCs w:val="30"/>
        </w:rPr>
        <w:t>3</w:t>
      </w:r>
      <w:r w:rsidR="005B396F">
        <w:rPr>
          <w:rFonts w:ascii="Source Sans Pro" w:eastAsia="Times New Roman" w:hAnsi="Source Sans Pro" w:cs="Times New Roman"/>
          <w:b/>
          <w:bCs/>
          <w:i/>
          <w:iCs/>
          <w:color w:val="212529"/>
          <w:sz w:val="30"/>
          <w:szCs w:val="30"/>
        </w:rPr>
        <w:t>-OHS-RAN</w:t>
      </w:r>
      <w:r w:rsidR="00A60C39">
        <w:rPr>
          <w:rFonts w:ascii="Source Sans Pro" w:eastAsia="Times New Roman" w:hAnsi="Source Sans Pro" w:cs="Times New Roman"/>
          <w:b/>
          <w:bCs/>
          <w:i/>
          <w:iCs/>
          <w:color w:val="212529"/>
          <w:sz w:val="30"/>
          <w:szCs w:val="30"/>
        </w:rPr>
        <w:t xml:space="preserve"> </w:t>
      </w:r>
      <w:r w:rsidR="00865AF6">
        <w:rPr>
          <w:rFonts w:ascii="Source Sans Pro" w:eastAsia="Times New Roman" w:hAnsi="Source Sans Pro" w:cs="Times New Roman"/>
          <w:b/>
          <w:bCs/>
          <w:i/>
          <w:iCs/>
          <w:color w:val="212529"/>
          <w:sz w:val="30"/>
          <w:szCs w:val="30"/>
        </w:rPr>
        <w:t>Ranchero Emergency Action Plan</w:t>
      </w:r>
      <w:r w:rsidR="007B5B9F">
        <w:rPr>
          <w:rFonts w:ascii="Source Sans Pro" w:eastAsia="Times New Roman" w:hAnsi="Source Sans Pro" w:cs="Times New Roman"/>
          <w:b/>
          <w:bCs/>
          <w:i/>
          <w:iCs/>
          <w:color w:val="212529"/>
          <w:sz w:val="30"/>
          <w:szCs w:val="30"/>
        </w:rPr>
        <w:t>_With Annexes</w:t>
      </w:r>
      <w:r w:rsidR="005B396F">
        <w:rPr>
          <w:rFonts w:ascii="Source Sans Pro" w:eastAsia="Times New Roman" w:hAnsi="Source Sans Pro" w:cs="Times New Roman"/>
          <w:b/>
          <w:bCs/>
          <w:i/>
          <w:iCs/>
          <w:color w:val="212529"/>
          <w:sz w:val="30"/>
          <w:szCs w:val="30"/>
        </w:rPr>
        <w:t>.pdf</w:t>
      </w:r>
    </w:p>
    <w:p w14:paraId="4447AE4D" w14:textId="41BEC76F" w:rsidR="005E45F1" w:rsidRPr="005E45F1" w:rsidRDefault="00E44115" w:rsidP="005E45F1">
      <w:pPr>
        <w:shd w:val="clear" w:color="auto" w:fill="FFFFFF"/>
        <w:spacing w:before="240" w:after="240" w:line="240" w:lineRule="auto"/>
        <w:rPr>
          <w:rFonts w:ascii="Source Sans Pro" w:eastAsia="Times New Roman" w:hAnsi="Source Sans Pro" w:cs="Times New Roman"/>
          <w:color w:val="212529"/>
          <w:sz w:val="30"/>
          <w:szCs w:val="30"/>
        </w:rPr>
      </w:pP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Response includes activities that address the short-term and direct effects of an incident. It includes immediate actions to save lives, protect property and the environment, and meet basic human needs. Response also includes the execution of emergency operations plans and of mitigation activities designed to limit the loss of life, personal injury, property damage, and other unfavorable outcomes. As indicated by the situation, response activities include applying intelligence and other information to lessen the effects or consequences of an incident; increased security operations; and continuing investigations into the nature and source of the threat.</w:t>
      </w:r>
    </w:p>
    <w:p w14:paraId="0CF6A308" w14:textId="4565738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B396F">
        <w:rPr>
          <w:rFonts w:ascii="Source Sans Pro" w:eastAsia="Times New Roman" w:hAnsi="Source Sans Pro" w:cs="Times New Roman"/>
          <w:b/>
          <w:bCs/>
          <w:color w:val="212529"/>
          <w:sz w:val="30"/>
          <w:szCs w:val="30"/>
          <w:u w:val="single"/>
        </w:rPr>
        <w:t>Recovery</w:t>
      </w:r>
      <w:r w:rsidR="00A60C39">
        <w:rPr>
          <w:rFonts w:ascii="Source Sans Pro" w:eastAsia="Times New Roman" w:hAnsi="Source Sans Pro" w:cs="Times New Roman"/>
          <w:b/>
          <w:bCs/>
          <w:color w:val="212529"/>
          <w:sz w:val="30"/>
          <w:szCs w:val="30"/>
        </w:rPr>
        <w:t xml:space="preserve"> – </w:t>
      </w:r>
      <w:r w:rsidR="00A60C39" w:rsidRPr="00A60C39">
        <w:rPr>
          <w:rFonts w:ascii="Source Sans Pro" w:eastAsia="Times New Roman" w:hAnsi="Source Sans Pro" w:cs="Times New Roman"/>
          <w:b/>
          <w:bCs/>
          <w:i/>
          <w:iCs/>
          <w:color w:val="212529"/>
          <w:sz w:val="30"/>
          <w:szCs w:val="30"/>
        </w:rPr>
        <w:t>Elements found in: Annex C: P9705 Accident Reporting Procedures, Annex E: Scout Incident reporting and Crisis Management, and Annex H: Scout Substation Unplanned Outage Procedure</w:t>
      </w:r>
    </w:p>
    <w:p w14:paraId="6CD92253" w14:textId="7777777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Recovery incorporates the development, coordination, and execution of service- and site-restoration plans; the reconstitution of operations and services; long-term care and treatment of affected persons; additional measures for social, political, environmental, and economic restoration; evaluation of the incident to identify lessons learned; post incident reporting; and development of initiatives to mitigate the effects of future incidents.</w:t>
      </w:r>
    </w:p>
    <w:p w14:paraId="6106C1BC" w14:textId="77777777" w:rsidR="005E45F1" w:rsidRPr="005E45F1" w:rsidRDefault="005E45F1" w:rsidP="005E45F1">
      <w:pPr>
        <w:shd w:val="clear" w:color="auto" w:fill="FFFFFF"/>
        <w:spacing w:after="0" w:line="240" w:lineRule="auto"/>
        <w:rPr>
          <w:rFonts w:ascii="Source Sans Pro" w:eastAsia="Times New Roman" w:hAnsi="Source Sans Pro" w:cs="Times New Roman"/>
          <w:color w:val="212529"/>
          <w:sz w:val="30"/>
          <w:szCs w:val="30"/>
        </w:rPr>
      </w:pPr>
      <w:r w:rsidRPr="005E45F1">
        <w:rPr>
          <w:rFonts w:ascii="Arial" w:eastAsia="Times New Roman" w:hAnsi="Arial" w:cs="Arial"/>
          <w:color w:val="212529"/>
          <w:sz w:val="30"/>
          <w:szCs w:val="30"/>
        </w:rPr>
        <w:t>​</w:t>
      </w:r>
    </w:p>
    <w:p w14:paraId="06F822B9" w14:textId="77777777" w:rsidR="00C85FC4" w:rsidRDefault="00C85FC4"/>
    <w:sectPr w:rsidR="00C85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5F1"/>
    <w:rsid w:val="000322DD"/>
    <w:rsid w:val="005B396F"/>
    <w:rsid w:val="005E45F1"/>
    <w:rsid w:val="007B5B9F"/>
    <w:rsid w:val="00865AF6"/>
    <w:rsid w:val="008F1D7D"/>
    <w:rsid w:val="00A60C39"/>
    <w:rsid w:val="00AD24F9"/>
    <w:rsid w:val="00C85FC4"/>
    <w:rsid w:val="00D8222C"/>
    <w:rsid w:val="00DE2AF5"/>
    <w:rsid w:val="00E4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0E00"/>
  <w15:chartTrackingRefBased/>
  <w15:docId w15:val="{8F839A7D-E8E7-4CB9-A056-92AA23ED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0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Boyle</dc:creator>
  <cp:keywords/>
  <dc:description/>
  <cp:lastModifiedBy>Jonathan Forste</cp:lastModifiedBy>
  <cp:revision>4</cp:revision>
  <dcterms:created xsi:type="dcterms:W3CDTF">2022-04-11T20:00:00Z</dcterms:created>
  <dcterms:modified xsi:type="dcterms:W3CDTF">2022-04-11T20:06:00Z</dcterms:modified>
</cp:coreProperties>
</file>